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120" w:right="0" w:firstLine="0"/>
        <w:jc w:val="left"/>
      </w:pPr>
      <w:bookmarkStart w:id="0" w:name="_GoBack"/>
      <w:bookmarkEnd w:id="0"/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  <w:r>
        <w:rPr>
          <w:rFonts w:hint="default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                                                                       </w:t>
      </w:r>
      <w:r>
        <w:rPr>
          <w:rFonts w:hint="default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Приложение№</w:t>
      </w:r>
      <w:r>
        <w:rPr>
          <w:rFonts w:hint="default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1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</w:pPr>
      <w:r>
        <w:rPr>
          <w:rFonts w:hint="default" w:cs="Times New Roman"/>
          <w:b w:val="0"/>
          <w:bCs w:val="0"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ru-RU" w:bidi="ru-RU"/>
        </w:rPr>
        <w:t xml:space="preserve">                                                                                                  к приказу №124 от 09.03.2021г.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</w:pP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Нормативы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  <w:t xml:space="preserve"> материальных затрат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  <w:t>для подведомственных</w:t>
      </w:r>
      <w:r>
        <w:rPr>
          <w:rFonts w:hint="default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  <w:t xml:space="preserve">учреждений 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ru-RU" w:bidi="ru-RU"/>
        </w:rPr>
        <w:t xml:space="preserve">Управления образования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Администрации города Феодосии Республики Крым</w:t>
      </w:r>
    </w:p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leftChars="0" w:right="0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Style w:val="3"/>
        <w:tblW w:w="99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8"/>
        <w:gridCol w:w="3326"/>
        <w:gridCol w:w="5836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14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 п/ п</w:t>
            </w:r>
          </w:p>
        </w:tc>
        <w:tc>
          <w:tcPr>
            <w:tcW w:w="33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формирования расходов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5836" w:type="dxa"/>
          <w:trHeight w:val="312" w:hRule="exac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33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35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оплату услуг связи состоят из расходов на: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70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1.1.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оплату услуг по абонентской плате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междугородней связи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услуг Интернет связи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исходя из заключенных договоров на оказание указанных услуг в соответствии с установленными ценами (тарифами) на оплату услуг по абонентской плате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междугородней связи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услуг Интернет связи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 не более 65,0 тыс.руб.в год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74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оплату коммунальных услуг и энергоносителей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исходя из заключенных договоров на оказание указанных услуг в соответствии с установленными ценами (тарифами) на электро- и тепло-энергию, газ, воду, водоотведение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2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3.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по аренде нежилых помещений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Расходы планируются исходя из стоимости аренды ,рассчитанной в соответствии с Методикой расчета и распределения арендной платы при передаче в аренду имущества, находящегося в собственности муниципального образования городской округ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Феодосия Республики Крым утвержденной Решением 24 сессии Феодосийского городского совета 1 созыва от 29.06.2015. № 402.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22" w:hRule="exac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4.</w:t>
            </w:r>
          </w:p>
        </w:tc>
        <w:tc>
          <w:tcPr>
            <w:tcW w:w="3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текущий ремонт зданий, оборудования,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оргтехники, прочего имущества и техническое обслуживание оборудования, оргтехники и прочего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имущества</w:t>
            </w:r>
          </w:p>
        </w:tc>
        <w:tc>
          <w:tcPr>
            <w:tcW w:w="5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Составляют не более 30 процентов от суммы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финансирования муниципального бюджета.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Style w:val="3"/>
        <w:tblW w:w="994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9"/>
        <w:gridCol w:w="3266"/>
        <w:gridCol w:w="591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1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приобретение мебели, телефонных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аппаратов и прочих предметов снабжения включают расходы на: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5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5.1.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мебели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Рассчитывается с учетом 4-летнего срока эксплуатации мебели, включают в себя расходы на приобретение столов, шкафов, стульев, тумб и прочей мебели.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Расчетная стоимость за одну единицу мебели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составляет: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Стол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,0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Шкаф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10,0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Стул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2,5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Тумба - 5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Кресло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- 15,0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Прочая мебель - 2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5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5.1.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мебели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для общеобразовательного учреждения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Рассчитывается с учетом 4-летнего срока эксплуатации мебели, включают в себя расходы на приобретение столов, шкафов, стульев, тумб и прочей мебели.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Расчетная стоимость за одну единицу мебели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составляет: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ученический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,0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Шкаф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 секционный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10,0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Стул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ученический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2,0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Тумба - 5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Стол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для столовой - 6,1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Стул для столовой -1,8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Лавка для столовой - 2,6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Прочая мебель - 2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9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5.1.2.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мебели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для дошкольного учреждения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Рассчитывается с учетом 4-летнего срока эксплуатации мебели, включают в себя расходы на приобретение столов, шкафов, стульев, тумб и прочей мебели.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Расчетная стоимость за одну единицу мебели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составляет: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Шкаф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1 секционный -15,00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Детский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стол-2,2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Стеллаж детский для игрушек - 20,0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Шкаф для полотенец 1 секц.- 0,6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Шкаф для горшков 1 секц.- 0,28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Шкаф для одежды 1 секц.- 1,8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Кровать с бортиками -2,5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Кровать детская -3,3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Стул детский -1,5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Скамья детская - 1,4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5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5.2.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наборов мебели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годности не менее 5 лет и нормой приобретения один набор мебели для оборудования одного кабинета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- из расчета стоимости за один набор мебели 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100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6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5.3.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прочих предметов снабжения: телефонных аппаратов, калькуляторов, жалюзи, блоков бесперебойного питания, клавиатур,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механических манипуляторов, «мышь»,  хозяйственного инвентаря и т.д.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7,8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 в год на одного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сотрудника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канцелярские принадлежности (с учетом расходных материалов)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3,1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 в год на одного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сотрудника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0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6.1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канцелярские принадлежности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дошкольные учреждения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более 2,0 тыс.руб. на 1 воспитанника на 1 учебный год.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более 5,1 тыс.руб. На 1 педагога на 1 учебный год.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60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6.2.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канцелярские принадлежности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общеобразовательные учреждения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более 5,1 тыс.руб. На 1 педагога на 1 учебный год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Не более 2,0 тыс.руб. на 1 воспитанника на 1 учебный год.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00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приобретение предметов длительного пользования составляют расходы на: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6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7.1.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копировальных аппаратов производительностью не менее 30 копий в минуту.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эксплуатации 5 лет и нормой приобретения один копировальный аппарат на 10 работников - из расчета стоимости за одну единицу не более 30,0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7.2.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холодильников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эксплуатации 8 лет 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нормой приобретения - один холодильник на 10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работников - из расчета стоимости за одну единицу не более 30,0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1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7.2.1.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Холодильного шкафа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эксплуатации 8 лет 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нормой приобретения - 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холодильник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- до 85,0 тыс.руб.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5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7.3.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кондиционеров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эксплуатации 10 лет 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нормой приобретения один кондиционер на кабинет из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расчета стоимости за одну единицу 30,0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96" w:hRule="exact"/>
          <w:jc w:val="center"/>
        </w:trPr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7.4.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компьютеров</w:t>
            </w:r>
          </w:p>
        </w:tc>
        <w:tc>
          <w:tcPr>
            <w:tcW w:w="5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с учетом срока эксплуатации 5 лет 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нормой приобретения один компьютер на одного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работника - из расчета стоимости за одну единицу 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 тыс. руб.</w:t>
            </w:r>
          </w:p>
        </w:tc>
      </w:tr>
    </w:tbl>
    <w:p>
      <w:pPr>
        <w:widowControl w:val="0"/>
        <w:spacing w:line="14" w:lineRule="exact"/>
      </w:pPr>
      <w:r>
        <w:br w:type="page"/>
      </w:r>
    </w:p>
    <w:tbl>
      <w:tblPr>
        <w:tblStyle w:val="3"/>
        <w:tblW w:w="9921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5"/>
        <w:gridCol w:w="3292"/>
        <w:gridCol w:w="590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7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системного блока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Рассчитывается с учетом срока эксплуатации 5 лет, из расчета стоимости за одну единицу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45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7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6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мониторов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Рассчитывается с учетом срока эксплуатации 5 лет, из расчета стоимости за одну единицу 15,0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4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7.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 принтеров и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многофункциональных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устройств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Рассчитываются с учетом срока эксплуатации 5 лет и нормой приобретения один принтер (многофункциональное устройство) из расчета стоимости за одну единицу 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30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,0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7.8.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ноутбуков для учебного класса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Рассчитывается с учетом срока эксплуатации 5 лет, из расчета стоимости за одну единицу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35,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4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7.8.1.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ноутбуков 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Рассчитывается с учетом срока эксплуатации 5 лет, из расчета стоимости за одну единицу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35,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14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7.9.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Приобретение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интерактивного комплекта (доска с проектором) для учебного процесса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Рассчитывается с учетом срока эксплуатации 5 лет, из расчета стоимости за одну единицу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120,0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 тыс. руб.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89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9.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уплату налогов, сборов и иных обязательных платежей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Рассчитываются исходя из установленных федеральным законодательством и законодательством Республики Крым налоговых ставок, размеров сборов и иных обязательных платежей.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98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по прочим текущим расходам включают в себя расходы: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5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11.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обслуживанию и сопровождению программного обеспечения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Планируются в соответствии с договорами, заключенными на предоставление таких услуг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0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12.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 участие в семинарах, совещаниях, курсах повышения квалификации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10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 тыс. руб. в год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13.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 подписке на периодические издания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Не более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4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0,0 тыс. руб. в год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86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14.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Нормативы материальных затрат на служебные командировки.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Устанавливаются в порядке и размерах возмещения расходов, связанных со служебными командировками, установленными нормативными актами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 xml:space="preserve"> Управления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образования.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53" w:hRule="exact"/>
          <w:jc w:val="center"/>
        </w:trPr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ru-RU" w:bidi="ru-RU"/>
              </w:rPr>
              <w:t>15.</w:t>
            </w:r>
          </w:p>
        </w:tc>
        <w:tc>
          <w:tcPr>
            <w:tcW w:w="3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 материальных затрат на проведение противоэпидемических и профилактических</w:t>
            </w:r>
          </w:p>
          <w:p>
            <w:pPr>
              <w:pStyle w:val="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мероприятий в целях предупреждения короновирусной инфекции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(2019-nCoV)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 территории Муниципального образования городской округ Феодосия Республики Крым</w:t>
            </w:r>
          </w:p>
        </w:tc>
        <w:tc>
          <w:tcPr>
            <w:tcW w:w="5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default" w:ascii="Times New Roman" w:hAnsi="Times New Roman" w:cs="Times New Roman"/>
                <w:sz w:val="10"/>
                <w:szCs w:val="10"/>
                <w:lang w:val="ru-RU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Нормы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 xml:space="preserve"> 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расхода антисептиков на обработку 1 пары рук 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auto"/>
              </w:rPr>
              <w:t>норма дезинфектанта для одного обеззараживания рук — от 3 до 5 мл (20 нажатий спрея, одна треть ладони для геля)</w:t>
            </w:r>
            <w:r>
              <w:rPr>
                <w:rFonts w:hint="default" w:ascii="Times New Roman" w:hAnsi="Times New Roman" w:eastAsia="sans-serif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.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норма расхода дезинфицирующего раствора дезсредства в мл на 1 м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superscript"/>
              </w:rPr>
              <w:t>2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</w:rPr>
              <w:t>(согласно инструкциям по применению конкретных препаратов</w:t>
            </w:r>
            <w:r>
              <w:rPr>
                <w:rFonts w:hint="default" w:ascii="Times New Roman" w:hAnsi="Times New Roman" w:eastAsia="Tahoma" w:cs="Times New Roman"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ru-RU"/>
              </w:rPr>
              <w:t>).</w:t>
            </w:r>
          </w:p>
        </w:tc>
      </w:tr>
    </w:tbl>
    <w:p>
      <w:pPr>
        <w:pStyle w:val="9"/>
        <w:shd w:val="clear" w:color="auto" w:fill="auto"/>
        <w:spacing w:after="0"/>
        <w:ind w:left="284" w:firstLine="0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pStyle w:val="9"/>
        <w:shd w:val="clear" w:color="auto" w:fill="auto"/>
        <w:spacing w:after="0"/>
        <w:ind w:left="284" w:firstLine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* Периодичность приобретения средств определяется сроком полезного использования в соответствии с требованиями законодательства Российской Федерации о бухгалтерском учете. </w:t>
      </w:r>
    </w:p>
    <w:p>
      <w:pPr>
        <w:pStyle w:val="9"/>
        <w:shd w:val="clear" w:color="auto" w:fill="auto"/>
        <w:spacing w:after="0"/>
        <w:ind w:left="284" w:firstLine="0"/>
        <w:rPr>
          <w:rFonts w:hint="default" w:ascii="Times New Roman" w:hAnsi="Times New Roman" w:cs="Times New Roman"/>
          <w:sz w:val="20"/>
          <w:szCs w:val="20"/>
          <w:lang w:val="ru-RU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Закупка принтеров, многофункциональных устройств, сканирующих устройств (оргтехники) осуществляется в пределах доведенных лимитов бюджетных обязательств на обеспечение функций </w:t>
      </w:r>
      <w:r>
        <w:rPr>
          <w:rFonts w:hint="default" w:ascii="Times New Roman" w:hAnsi="Times New Roman" w:eastAsia="SimSun" w:cs="Times New Roman"/>
          <w:sz w:val="24"/>
          <w:szCs w:val="24"/>
          <w:lang w:val="ru-RU"/>
        </w:rPr>
        <w:t>Управления образования и подведомственных ему учреждений.</w:t>
      </w:r>
    </w:p>
    <w:sectPr>
      <w:type w:val="continuous"/>
      <w:pgSz w:w="11900" w:h="16840"/>
      <w:pgMar w:top="672" w:right="966" w:bottom="192" w:left="1128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9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7B475F"/>
    <w:rsid w:val="00246DA5"/>
    <w:rsid w:val="00381D0C"/>
    <w:rsid w:val="0049261C"/>
    <w:rsid w:val="00530B70"/>
    <w:rsid w:val="0054227D"/>
    <w:rsid w:val="00634F99"/>
    <w:rsid w:val="00647E81"/>
    <w:rsid w:val="006510EB"/>
    <w:rsid w:val="006D3629"/>
    <w:rsid w:val="00787581"/>
    <w:rsid w:val="007B475F"/>
    <w:rsid w:val="00821D64"/>
    <w:rsid w:val="00842E37"/>
    <w:rsid w:val="009A7EB8"/>
    <w:rsid w:val="009B3422"/>
    <w:rsid w:val="00A53DDB"/>
    <w:rsid w:val="00C07DB3"/>
    <w:rsid w:val="00F84AEC"/>
    <w:rsid w:val="04A33B6D"/>
    <w:rsid w:val="06185D39"/>
    <w:rsid w:val="19011BAB"/>
    <w:rsid w:val="1AEF2783"/>
    <w:rsid w:val="2D484C34"/>
    <w:rsid w:val="30F02164"/>
    <w:rsid w:val="37017B24"/>
    <w:rsid w:val="3D080EC7"/>
    <w:rsid w:val="63930ED5"/>
    <w:rsid w:val="653C641A"/>
    <w:rsid w:val="6BF95040"/>
    <w:rsid w:val="6BFA37C2"/>
    <w:rsid w:val="6DFA4B73"/>
    <w:rsid w:val="6E9C71CA"/>
    <w:rsid w:val="72E34048"/>
    <w:rsid w:val="744F4EAB"/>
    <w:rsid w:val="75CF41A2"/>
    <w:rsid w:val="77D4710C"/>
    <w:rsid w:val="793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_"/>
    <w:basedOn w:val="2"/>
    <w:link w:val="5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5">
    <w:name w:val="Основной текст1"/>
    <w:basedOn w:val="1"/>
    <w:link w:val="4"/>
    <w:qFormat/>
    <w:uiPriority w:val="0"/>
    <w:pPr>
      <w:shd w:val="clear" w:color="auto" w:fill="FFFFFF"/>
      <w:spacing w:line="262" w:lineRule="auto"/>
      <w:ind w:firstLine="400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6">
    <w:name w:val="Заголовок №1_"/>
    <w:basedOn w:val="2"/>
    <w:link w:val="7"/>
    <w:qFormat/>
    <w:uiPriority w:val="0"/>
    <w:rPr>
      <w:rFonts w:ascii="Times New Roman" w:hAnsi="Times New Roman" w:eastAsia="Times New Roman" w:cs="Times New Roman"/>
      <w:b/>
      <w:bCs/>
      <w:sz w:val="48"/>
      <w:szCs w:val="48"/>
      <w:u w:val="none"/>
    </w:rPr>
  </w:style>
  <w:style w:type="paragraph" w:customStyle="1" w:styleId="7">
    <w:name w:val="Заголовок №1"/>
    <w:basedOn w:val="1"/>
    <w:link w:val="6"/>
    <w:qFormat/>
    <w:uiPriority w:val="0"/>
    <w:pPr>
      <w:shd w:val="clear" w:color="auto" w:fill="FFFFFF"/>
      <w:spacing w:after="260"/>
      <w:jc w:val="center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character" w:customStyle="1" w:styleId="8">
    <w:name w:val="Основной текст (2)_"/>
    <w:basedOn w:val="2"/>
    <w:link w:val="9"/>
    <w:qFormat/>
    <w:uiPriority w:val="0"/>
    <w:rPr>
      <w:rFonts w:ascii="Times New Roman" w:hAnsi="Times New Roman" w:eastAsia="Times New Roman" w:cs="Times New Roman"/>
      <w:sz w:val="19"/>
      <w:szCs w:val="19"/>
      <w:u w:val="none"/>
    </w:rPr>
  </w:style>
  <w:style w:type="paragraph" w:customStyle="1" w:styleId="9">
    <w:name w:val="Основной текст (2)"/>
    <w:basedOn w:val="1"/>
    <w:link w:val="8"/>
    <w:qFormat/>
    <w:uiPriority w:val="0"/>
    <w:pPr>
      <w:shd w:val="clear" w:color="auto" w:fill="FFFFFF"/>
      <w:spacing w:after="130"/>
      <w:ind w:firstLine="140"/>
    </w:pPr>
    <w:rPr>
      <w:rFonts w:ascii="Times New Roman" w:hAnsi="Times New Roman" w:eastAsia="Times New Roman" w:cs="Times New Roman"/>
      <w:sz w:val="19"/>
      <w:szCs w:val="19"/>
    </w:rPr>
  </w:style>
  <w:style w:type="paragraph" w:customStyle="1" w:styleId="10">
    <w:name w:val="Другое"/>
    <w:basedOn w:val="1"/>
    <w:qFormat/>
    <w:uiPriority w:val="0"/>
    <w:pPr>
      <w:widowControl w:val="0"/>
      <w:shd w:val="clear" w:color="auto" w:fill="FFFFFF"/>
    </w:pPr>
    <w:rPr>
      <w:rFonts w:ascii="Times New Roman" w:hAnsi="Times New Roman" w:eastAsia="Times New Roman" w:cs="Times New Roman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2</Pages>
  <Words>461</Words>
  <Characters>2633</Characters>
  <Lines>21</Lines>
  <Paragraphs>6</Paragraphs>
  <TotalTime>32</TotalTime>
  <ScaleCrop>false</ScaleCrop>
  <LinksUpToDate>false</LinksUpToDate>
  <CharactersWithSpaces>3088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2020-10-28T17:18:00Z</dcterms:created>
  <dc:creator>User</dc:creator>
  <cp:lastModifiedBy>ПатайНА</cp:lastModifiedBy>
  <cp:lastPrinted>2021-03-10T14:10:50Z</cp:lastPrinted>
  <dcterms:modified xsi:type="dcterms:W3CDTF">2021-03-10T14:11:54Z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